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0EBBC26E"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C66D56">
        <w:rPr>
          <w:rFonts w:ascii="Garamond" w:hAnsi="Garamond"/>
          <w:b/>
          <w:i/>
          <w:sz w:val="22"/>
          <w:szCs w:val="22"/>
        </w:rPr>
        <w:t>2</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3928DE">
        <w:rPr>
          <w:rFonts w:ascii="Garamond" w:hAnsi="Garamond"/>
          <w:i/>
        </w:rPr>
        <w:t>…………………</w:t>
      </w:r>
      <w:r w:rsidR="00E75321" w:rsidRPr="00774DE2">
        <w:rPr>
          <w:rFonts w:ascii="Garamond" w:hAnsi="Garamond"/>
          <w:i/>
        </w:rPr>
        <w:t xml:space="preserve"> </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52CB4C4C"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B42B94">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Pr="00782757" w:rsidRDefault="00E75321" w:rsidP="00E75321">
      <w:pPr>
        <w:pStyle w:val="Zkladntext"/>
        <w:spacing w:line="240" w:lineRule="atLeast"/>
        <w:ind w:firstLine="708"/>
        <w:jc w:val="left"/>
        <w:rPr>
          <w:rFonts w:ascii="Garamond" w:hAnsi="Garamond"/>
          <w:b/>
          <w:sz w:val="26"/>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465E57C" w14:textId="77777777" w:rsidR="00133193" w:rsidRPr="00774DE2" w:rsidRDefault="00133193" w:rsidP="00E75321">
      <w:pPr>
        <w:rPr>
          <w:rFonts w:ascii="Garamond" w:hAnsi="Garamond"/>
          <w:i/>
        </w:rPr>
      </w:pPr>
    </w:p>
    <w:p w14:paraId="6421B4F0" w14:textId="67D080D9" w:rsidR="007D4D2C" w:rsidRPr="00800A80" w:rsidRDefault="00DF6323" w:rsidP="007D4D2C">
      <w:pPr>
        <w:ind w:firstLine="708"/>
        <w:jc w:val="both"/>
        <w:rPr>
          <w:rFonts w:ascii="Garamond" w:hAnsi="Garamond"/>
          <w:sz w:val="28"/>
          <w:szCs w:val="28"/>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800A80">
        <w:rPr>
          <w:rFonts w:ascii="Garamond" w:hAnsi="Garamond"/>
          <w:b/>
        </w:rPr>
        <w:t xml:space="preserve">  </w:t>
      </w:r>
      <w:r w:rsidRPr="00DD0127">
        <w:rPr>
          <w:rFonts w:ascii="Garamond" w:hAnsi="Garamond"/>
          <w:b/>
        </w:rPr>
        <w:t xml:space="preserve"> </w:t>
      </w:r>
      <w:r w:rsidR="00CA513C" w:rsidRPr="00CA513C">
        <w:rPr>
          <w:rFonts w:ascii="Garamond" w:hAnsi="Garamond"/>
          <w:b/>
          <w:sz w:val="32"/>
          <w:szCs w:val="32"/>
        </w:rPr>
        <w:t>III/2208 Tisová  – oprava povrchu vozovky</w:t>
      </w:r>
      <w:r w:rsidR="00CA513C" w:rsidRPr="00CA513C">
        <w:rPr>
          <w:rFonts w:ascii="Garamond" w:hAnsi="Garamond"/>
          <w:b/>
        </w:rPr>
        <w:t xml:space="preserve">                     </w:t>
      </w: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3DF30B94"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0101119" w14:textId="77777777" w:rsidR="007853A8" w:rsidRDefault="007853A8" w:rsidP="00B514DA">
      <w:pPr>
        <w:pStyle w:val="Zkladntextodsazen3"/>
        <w:spacing w:before="60" w:after="60"/>
        <w:rPr>
          <w:rFonts w:ascii="Garamond" w:hAnsi="Garamond"/>
          <w:szCs w:val="22"/>
        </w:rPr>
      </w:pPr>
    </w:p>
    <w:p w14:paraId="4B12F9B3" w14:textId="7022E4CB" w:rsidR="008075E0" w:rsidRPr="008075E0" w:rsidRDefault="00D9254E" w:rsidP="007853A8">
      <w:pPr>
        <w:pStyle w:val="Zkladntextodsazen3"/>
        <w:spacing w:before="60" w:after="60"/>
        <w:rPr>
          <w:rFonts w:ascii="Garamond" w:hAnsi="Garamond"/>
          <w:bCs/>
          <w:szCs w:val="22"/>
        </w:rPr>
      </w:pPr>
      <w:r>
        <w:rPr>
          <w:rFonts w:ascii="Garamond" w:hAnsi="Garamond"/>
          <w:szCs w:val="22"/>
        </w:rPr>
        <w:t>2.2.</w:t>
      </w:r>
      <w:r w:rsidR="007853A8">
        <w:rPr>
          <w:rFonts w:ascii="Garamond" w:hAnsi="Garamond"/>
          <w:szCs w:val="22"/>
        </w:rPr>
        <w:t xml:space="preserve">    </w:t>
      </w:r>
      <w:r w:rsidR="008075E0" w:rsidRPr="008075E0">
        <w:rPr>
          <w:rFonts w:ascii="Garamond" w:hAnsi="Garamond"/>
          <w:bCs/>
          <w:szCs w:val="22"/>
        </w:rPr>
        <w:t xml:space="preserve">Předmětem </w:t>
      </w:r>
      <w:r w:rsidR="00B42B94">
        <w:rPr>
          <w:rFonts w:ascii="Garamond" w:hAnsi="Garamond"/>
          <w:bCs/>
          <w:szCs w:val="22"/>
        </w:rPr>
        <w:t>Díla</w:t>
      </w:r>
      <w:r w:rsidR="008075E0" w:rsidRPr="008075E0">
        <w:rPr>
          <w:rFonts w:ascii="Garamond" w:hAnsi="Garamond"/>
          <w:bCs/>
          <w:szCs w:val="22"/>
        </w:rPr>
        <w:t xml:space="preserve"> je stavební akce</w:t>
      </w:r>
      <w:r w:rsidR="00B42B94" w:rsidRPr="00B42B94">
        <w:t xml:space="preserve"> </w:t>
      </w:r>
      <w:r w:rsidR="00B42B94">
        <w:t>„</w:t>
      </w:r>
      <w:r w:rsidR="00B42B94" w:rsidRPr="00B42B94">
        <w:rPr>
          <w:rFonts w:ascii="Garamond" w:hAnsi="Garamond"/>
          <w:bCs/>
          <w:szCs w:val="22"/>
        </w:rPr>
        <w:t xml:space="preserve">III/2208 </w:t>
      </w:r>
      <w:proofErr w:type="gramStart"/>
      <w:r w:rsidR="00B42B94" w:rsidRPr="00B42B94">
        <w:rPr>
          <w:rFonts w:ascii="Garamond" w:hAnsi="Garamond"/>
          <w:bCs/>
          <w:szCs w:val="22"/>
        </w:rPr>
        <w:t>Tisová  –</w:t>
      </w:r>
      <w:proofErr w:type="gramEnd"/>
      <w:r w:rsidR="00B42B94" w:rsidRPr="00B42B94">
        <w:rPr>
          <w:rFonts w:ascii="Garamond" w:hAnsi="Garamond"/>
          <w:bCs/>
          <w:szCs w:val="22"/>
        </w:rPr>
        <w:t xml:space="preserve"> oprava povrchu vozovky</w:t>
      </w:r>
      <w:r w:rsidR="00B42B94">
        <w:rPr>
          <w:rFonts w:ascii="Garamond" w:hAnsi="Garamond"/>
          <w:bCs/>
          <w:szCs w:val="22"/>
        </w:rPr>
        <w:t xml:space="preserve">“. </w:t>
      </w:r>
      <w:r w:rsidR="00B42B94" w:rsidRPr="00B42B94">
        <w:rPr>
          <w:rFonts w:ascii="Garamond" w:hAnsi="Garamond"/>
          <w:bCs/>
          <w:szCs w:val="22"/>
        </w:rPr>
        <w:t xml:space="preserve">Jedná se o </w:t>
      </w:r>
      <w:proofErr w:type="spellStart"/>
      <w:r w:rsidR="00B42B94" w:rsidRPr="00B42B94">
        <w:rPr>
          <w:rFonts w:ascii="Garamond" w:hAnsi="Garamond"/>
          <w:bCs/>
          <w:szCs w:val="22"/>
        </w:rPr>
        <w:t>pravu</w:t>
      </w:r>
      <w:proofErr w:type="spellEnd"/>
      <w:r w:rsidR="00B42B94" w:rsidRPr="00B42B94">
        <w:rPr>
          <w:rFonts w:ascii="Garamond" w:hAnsi="Garamond"/>
          <w:bCs/>
          <w:szCs w:val="22"/>
        </w:rPr>
        <w:t xml:space="preserve"> povrchu silnice č. III/2208 před obcí Tisová v délce 400 m, v km cca </w:t>
      </w:r>
      <w:r w:rsidR="005D118A">
        <w:rPr>
          <w:rFonts w:ascii="Garamond" w:hAnsi="Garamond"/>
          <w:bCs/>
          <w:szCs w:val="22"/>
        </w:rPr>
        <w:t>1</w:t>
      </w:r>
      <w:r w:rsidR="00B42B94" w:rsidRPr="00B42B94">
        <w:rPr>
          <w:rFonts w:ascii="Garamond" w:hAnsi="Garamond"/>
          <w:bCs/>
          <w:szCs w:val="22"/>
        </w:rPr>
        <w:t>,</w:t>
      </w:r>
      <w:r w:rsidR="005D118A">
        <w:rPr>
          <w:rFonts w:ascii="Garamond" w:hAnsi="Garamond"/>
          <w:bCs/>
          <w:szCs w:val="22"/>
        </w:rPr>
        <w:t>360</w:t>
      </w:r>
      <w:r w:rsidR="00B42B94" w:rsidRPr="00B42B94">
        <w:rPr>
          <w:rFonts w:ascii="Garamond" w:hAnsi="Garamond"/>
          <w:bCs/>
          <w:szCs w:val="22"/>
        </w:rPr>
        <w:t xml:space="preserve"> – </w:t>
      </w:r>
      <w:r w:rsidR="005D118A">
        <w:rPr>
          <w:rFonts w:ascii="Garamond" w:hAnsi="Garamond"/>
          <w:bCs/>
          <w:szCs w:val="22"/>
        </w:rPr>
        <w:t>1</w:t>
      </w:r>
      <w:r w:rsidR="00B42B94" w:rsidRPr="00B42B94">
        <w:rPr>
          <w:rFonts w:ascii="Garamond" w:hAnsi="Garamond"/>
          <w:bCs/>
          <w:szCs w:val="22"/>
        </w:rPr>
        <w:t>,</w:t>
      </w:r>
      <w:r w:rsidR="005D118A">
        <w:rPr>
          <w:rFonts w:ascii="Garamond" w:hAnsi="Garamond"/>
          <w:bCs/>
          <w:szCs w:val="22"/>
        </w:rPr>
        <w:t>760</w:t>
      </w:r>
      <w:r w:rsidR="00B42B94" w:rsidRPr="00B42B94">
        <w:rPr>
          <w:rFonts w:ascii="Garamond" w:hAnsi="Garamond"/>
          <w:bCs/>
          <w:szCs w:val="22"/>
        </w:rPr>
        <w:t xml:space="preserve">. Silnice bude odfrézovaná v tl.20mm, budou provedeny vyrovnávky 25t, dále bude proveden živičný spojovací postřik, pokládka obrusné vrstvy ACO-11+ tl.50 </w:t>
      </w:r>
      <w:proofErr w:type="gramStart"/>
      <w:r w:rsidR="00B42B94" w:rsidRPr="00B42B94">
        <w:rPr>
          <w:rFonts w:ascii="Garamond" w:hAnsi="Garamond"/>
          <w:bCs/>
          <w:szCs w:val="22"/>
        </w:rPr>
        <w:t xml:space="preserve">mm,  </w:t>
      </w:r>
      <w:proofErr w:type="spellStart"/>
      <w:r w:rsidR="00B42B94" w:rsidRPr="00B42B94">
        <w:rPr>
          <w:rFonts w:ascii="Garamond" w:hAnsi="Garamond"/>
          <w:bCs/>
          <w:szCs w:val="22"/>
        </w:rPr>
        <w:t>reprofilace</w:t>
      </w:r>
      <w:proofErr w:type="spellEnd"/>
      <w:proofErr w:type="gramEnd"/>
      <w:r w:rsidR="00B42B94" w:rsidRPr="00B42B94">
        <w:rPr>
          <w:rFonts w:ascii="Garamond" w:hAnsi="Garamond"/>
          <w:bCs/>
          <w:szCs w:val="22"/>
        </w:rPr>
        <w:t xml:space="preserve"> krajnice a obnovení VDZ. Součástí </w:t>
      </w:r>
      <w:r w:rsidR="00B42B94">
        <w:rPr>
          <w:rFonts w:ascii="Garamond" w:hAnsi="Garamond"/>
          <w:bCs/>
          <w:szCs w:val="22"/>
        </w:rPr>
        <w:t>Díla</w:t>
      </w:r>
      <w:r w:rsidR="00B42B94" w:rsidRPr="00B42B94">
        <w:rPr>
          <w:rFonts w:ascii="Garamond" w:hAnsi="Garamond"/>
          <w:bCs/>
          <w:szCs w:val="22"/>
        </w:rPr>
        <w:t xml:space="preserve"> je zajištění DIO.</w:t>
      </w:r>
    </w:p>
    <w:p w14:paraId="49C94C33" w14:textId="77777777" w:rsidR="00DF6323" w:rsidRPr="00661990" w:rsidRDefault="00DF6323" w:rsidP="00990141">
      <w:pPr>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3922DEE5"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DD0127" w:rsidRPr="00F6426A">
        <w:rPr>
          <w:rFonts w:ascii="Garamond" w:hAnsi="Garamond"/>
          <w:sz w:val="22"/>
          <w:szCs w:val="22"/>
        </w:rPr>
        <w:t>…….</w:t>
      </w:r>
      <w:proofErr w:type="gramEnd"/>
      <w:r w:rsidR="00DD0127" w:rsidRPr="00F6426A">
        <w:rPr>
          <w:rFonts w:ascii="Garamond" w:hAnsi="Garamond"/>
          <w:sz w:val="22"/>
          <w:szCs w:val="22"/>
        </w:rPr>
        <w:t>./MR/SÚ/202</w:t>
      </w:r>
      <w:r w:rsidR="0018227D">
        <w:rPr>
          <w:rFonts w:ascii="Garamond" w:hAnsi="Garamond"/>
          <w:sz w:val="22"/>
          <w:szCs w:val="22"/>
        </w:rPr>
        <w:t>2</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715B202B"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7853A8">
        <w:rPr>
          <w:rFonts w:ascii="Garamond" w:hAnsi="Garamond"/>
          <w:szCs w:val="22"/>
        </w:rPr>
        <w:t>5</w:t>
      </w:r>
      <w:r w:rsidR="00FF2D4B">
        <w:rPr>
          <w:rFonts w:ascii="Garamond" w:hAnsi="Garamond"/>
          <w:szCs w:val="22"/>
        </w:rPr>
        <w:t xml:space="preserve"> dní od podpisu smlouvy</w:t>
      </w:r>
    </w:p>
    <w:p w14:paraId="6ECE3455" w14:textId="2915F21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CA513C">
        <w:rPr>
          <w:rFonts w:ascii="Garamond" w:hAnsi="Garamond"/>
          <w:szCs w:val="22"/>
        </w:rPr>
        <w:t>3</w:t>
      </w:r>
      <w:r w:rsidRPr="000A4A99">
        <w:rPr>
          <w:rFonts w:ascii="Garamond" w:hAnsi="Garamond"/>
          <w:szCs w:val="22"/>
        </w:rPr>
        <w:t xml:space="preserve"> kalendářních dnů od předání a převzetí staveniště</w:t>
      </w:r>
    </w:p>
    <w:p w14:paraId="77BA8821" w14:textId="1F3F0E76"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FF2D4B">
        <w:rPr>
          <w:rFonts w:ascii="Garamond" w:hAnsi="Garamond"/>
          <w:b/>
          <w:bCs/>
          <w:szCs w:val="22"/>
        </w:rPr>
        <w:t>0</w:t>
      </w:r>
      <w:r w:rsidR="007E6FB3" w:rsidRPr="007E6FB3">
        <w:rPr>
          <w:rFonts w:ascii="Garamond" w:hAnsi="Garamond"/>
          <w:b/>
          <w:bCs/>
          <w:szCs w:val="22"/>
        </w:rPr>
        <w:t>.</w:t>
      </w:r>
      <w:r w:rsidR="00CA513C">
        <w:rPr>
          <w:rFonts w:ascii="Garamond" w:hAnsi="Garamond"/>
          <w:b/>
          <w:bCs/>
          <w:szCs w:val="22"/>
        </w:rPr>
        <w:t>11</w:t>
      </w:r>
      <w:r w:rsidR="00D21F99" w:rsidRPr="007E6FB3">
        <w:rPr>
          <w:rFonts w:ascii="Garamond" w:hAnsi="Garamond"/>
          <w:b/>
          <w:bCs/>
          <w:szCs w:val="22"/>
        </w:rPr>
        <w:t>.2022</w:t>
      </w:r>
      <w:r w:rsidRPr="005E4CFC">
        <w:rPr>
          <w:rFonts w:ascii="Garamond" w:hAnsi="Garamond"/>
          <w:szCs w:val="22"/>
        </w:rPr>
        <w:t xml:space="preserve"> </w:t>
      </w:r>
    </w:p>
    <w:p w14:paraId="4A053F84" w14:textId="2529CA9E"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C01B38">
        <w:rPr>
          <w:rFonts w:ascii="Garamond" w:hAnsi="Garamond"/>
          <w:szCs w:val="22"/>
        </w:rPr>
        <w:t>7</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w:t>
      </w:r>
      <w:r w:rsidRPr="006A7A78">
        <w:rPr>
          <w:rFonts w:ascii="Garamond" w:hAnsi="Garamond"/>
          <w:szCs w:val="22"/>
        </w:rPr>
        <w:lastRenderedPageBreak/>
        <w:t xml:space="preserve">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w:t>
      </w:r>
      <w:r w:rsidRPr="006A7A78">
        <w:rPr>
          <w:rFonts w:ascii="Garamond" w:hAnsi="Garamond"/>
          <w:sz w:val="22"/>
          <w:szCs w:val="22"/>
        </w:rPr>
        <w:lastRenderedPageBreak/>
        <w:t xml:space="preserve">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1781136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w:t>
      </w:r>
      <w:r w:rsidR="00CA513C">
        <w:rPr>
          <w:rFonts w:ascii="Garamond" w:hAnsi="Garamond"/>
          <w:b/>
          <w:szCs w:val="22"/>
        </w:rPr>
        <w:t xml:space="preserve"> na kryt vozovky a 24 měsíc</w:t>
      </w:r>
      <w:r w:rsidR="00DE0A3B">
        <w:rPr>
          <w:rFonts w:ascii="Garamond" w:hAnsi="Garamond"/>
          <w:b/>
          <w:szCs w:val="22"/>
        </w:rPr>
        <w:t>ů</w:t>
      </w:r>
      <w:r w:rsidR="00CA513C">
        <w:rPr>
          <w:rFonts w:ascii="Garamond" w:hAnsi="Garamond"/>
          <w:b/>
          <w:szCs w:val="22"/>
        </w:rPr>
        <w:t xml:space="preserve"> na VDZ</w:t>
      </w:r>
      <w:r w:rsidRPr="00DD0127">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6C3316" w:rsidRDefault="006C3316" w:rsidP="006C3316">
      <w:pPr>
        <w:pStyle w:val="Zkladntextodsazen3"/>
        <w:snapToGrid w:val="0"/>
        <w:spacing w:after="60"/>
        <w:rPr>
          <w:rFonts w:ascii="Garamond" w:hAnsi="Garamond"/>
          <w:szCs w:val="22"/>
        </w:rPr>
      </w:pPr>
    </w:p>
    <w:p w14:paraId="646599FD" w14:textId="77777777" w:rsidR="00B42B94" w:rsidRPr="00C46014" w:rsidRDefault="00B42B94" w:rsidP="00B42B94">
      <w:pPr>
        <w:pStyle w:val="Nadpis1"/>
        <w:jc w:val="center"/>
        <w:rPr>
          <w:rFonts w:ascii="Garamond" w:hAnsi="Garamond"/>
          <w:szCs w:val="22"/>
        </w:rPr>
      </w:pPr>
      <w:r>
        <w:rPr>
          <w:rFonts w:ascii="Garamond" w:hAnsi="Garamond"/>
          <w:szCs w:val="22"/>
        </w:rPr>
        <w:t>X</w:t>
      </w:r>
      <w:r w:rsidRPr="002D7225">
        <w:rPr>
          <w:rFonts w:ascii="Garamond" w:hAnsi="Garamond"/>
          <w:szCs w:val="22"/>
        </w:rPr>
        <w:t>III.  Zvl</w:t>
      </w:r>
      <w:r>
        <w:rPr>
          <w:rFonts w:ascii="Garamond" w:hAnsi="Garamond"/>
          <w:szCs w:val="22"/>
        </w:rPr>
        <w:t>áštní ujednání</w:t>
      </w:r>
    </w:p>
    <w:p w14:paraId="28D1767F" w14:textId="77777777" w:rsidR="00B42B94" w:rsidRPr="002D7225" w:rsidRDefault="00B42B94" w:rsidP="00B42B94">
      <w:pPr>
        <w:pStyle w:val="Nadpis1"/>
        <w:jc w:val="center"/>
        <w:rPr>
          <w:rFonts w:ascii="Garamond" w:hAnsi="Garamond"/>
          <w:szCs w:val="22"/>
        </w:rPr>
      </w:pPr>
    </w:p>
    <w:p w14:paraId="06BBBC15" w14:textId="77777777" w:rsidR="00B42B94" w:rsidRPr="002D7225" w:rsidRDefault="00B42B94" w:rsidP="00B42B94">
      <w:pPr>
        <w:pStyle w:val="Nadpis1"/>
        <w:numPr>
          <w:ilvl w:val="0"/>
          <w:numId w:val="27"/>
        </w:numPr>
        <w:spacing w:after="60"/>
        <w:ind w:left="567" w:hanging="567"/>
        <w:jc w:val="both"/>
        <w:rPr>
          <w:rFonts w:ascii="Garamond" w:hAnsi="Garamond"/>
          <w:b w:val="0"/>
          <w:szCs w:val="22"/>
        </w:rPr>
      </w:pPr>
      <w:r w:rsidRPr="002D7225">
        <w:rPr>
          <w:rFonts w:ascii="Garamond" w:hAnsi="Garamond"/>
          <w:szCs w:val="22"/>
        </w:rPr>
        <w:t>Tato smlouva nabývá platnosti okamžikem jejího podpisu oběma smluvními stranami</w:t>
      </w:r>
      <w:r w:rsidRPr="002D7225">
        <w:rPr>
          <w:rFonts w:ascii="Garamond" w:hAnsi="Garamond"/>
          <w:b w:val="0"/>
          <w:szCs w:val="22"/>
        </w:rPr>
        <w:t>.</w:t>
      </w:r>
    </w:p>
    <w:p w14:paraId="6B2B3237" w14:textId="77777777" w:rsidR="00B42B94" w:rsidRPr="002D7225" w:rsidRDefault="00B42B94" w:rsidP="00B42B94">
      <w:pPr>
        <w:numPr>
          <w:ilvl w:val="0"/>
          <w:numId w:val="27"/>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Pr="002D7225">
        <w:rPr>
          <w:rFonts w:ascii="Garamond" w:hAnsi="Garamond"/>
          <w:sz w:val="22"/>
          <w:szCs w:val="22"/>
          <w:lang w:eastAsia="x-none"/>
        </w:rPr>
        <w:t>dodatku k této smlouvě</w:t>
      </w:r>
      <w:r w:rsidRPr="002D7225">
        <w:rPr>
          <w:rFonts w:ascii="Garamond" w:hAnsi="Garamond"/>
          <w:sz w:val="22"/>
          <w:szCs w:val="22"/>
          <w:lang w:val="x-none" w:eastAsia="x-none"/>
        </w:rPr>
        <w:t>. V takovém případě pak neplnění původních termínů nezakládá nárok na uplatnění smluvní pokuty.</w:t>
      </w:r>
    </w:p>
    <w:p w14:paraId="733257D8" w14:textId="77777777" w:rsidR="00B42B94" w:rsidRPr="002D7225" w:rsidRDefault="00B42B94" w:rsidP="00B42B94">
      <w:pPr>
        <w:numPr>
          <w:ilvl w:val="0"/>
          <w:numId w:val="27"/>
        </w:numPr>
        <w:ind w:left="567" w:hanging="567"/>
        <w:jc w:val="both"/>
        <w:rPr>
          <w:rFonts w:ascii="Garamond" w:hAnsi="Garamond"/>
          <w:sz w:val="22"/>
          <w:szCs w:val="22"/>
          <w:lang w:val="x-none" w:eastAsia="x-none"/>
        </w:rPr>
      </w:pPr>
      <w:r w:rsidRPr="002D7225">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w:t>
      </w:r>
      <w:r w:rsidRPr="002D7225">
        <w:rPr>
          <w:rFonts w:ascii="Garamond" w:hAnsi="Garamond"/>
          <w:sz w:val="22"/>
          <w:szCs w:val="22"/>
          <w:lang w:val="x-none" w:eastAsia="x-none"/>
        </w:rPr>
        <w:lastRenderedPageBreak/>
        <w:t>opatření k tomu, aby zabránila dalšímu nebo následnému zdržení. O vzájemném postupu se budou smluvní strany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CA513C">
      <w:pPr>
        <w:ind w:left="709" w:hanging="709"/>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FEAF7C"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řízení č. ……/MR/202</w:t>
      </w:r>
      <w:r w:rsidR="00DC0D77">
        <w:rPr>
          <w:rFonts w:ascii="Garamond" w:hAnsi="Garamond"/>
          <w:sz w:val="22"/>
          <w:szCs w:val="22"/>
          <w:lang w:eastAsia="x-none"/>
        </w:rPr>
        <w:t>2</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77777777" w:rsidR="007C2BEF" w:rsidRPr="00F9383D" w:rsidRDefault="007C2BEF" w:rsidP="00782757">
            <w:pPr>
              <w:ind w:left="720" w:hanging="720"/>
              <w:jc w:val="both"/>
              <w:rPr>
                <w:rFonts w:ascii="Garamond" w:hAnsi="Garamond"/>
                <w:b/>
                <w:sz w:val="22"/>
              </w:rPr>
            </w:pPr>
            <w:r w:rsidRPr="00F9383D">
              <w:rPr>
                <w:rFonts w:ascii="Garamond" w:hAnsi="Garamond"/>
                <w:sz w:val="22"/>
              </w:rPr>
              <w:t>V……………</w:t>
            </w:r>
            <w:proofErr w:type="gramStart"/>
            <w:r w:rsidRPr="00F9383D">
              <w:rPr>
                <w:rFonts w:ascii="Garamond" w:hAnsi="Garamond"/>
                <w:sz w:val="22"/>
              </w:rPr>
              <w:t>dne :</w:t>
            </w:r>
            <w:proofErr w:type="gramEnd"/>
            <w:r w:rsidRPr="00F9383D">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77777777" w:rsidR="007C2BEF" w:rsidRPr="00F9383D" w:rsidRDefault="007C2BEF" w:rsidP="00782757">
            <w:pPr>
              <w:ind w:left="720" w:hanging="720"/>
              <w:jc w:val="both"/>
              <w:rPr>
                <w:rFonts w:ascii="Garamond" w:hAnsi="Garamond"/>
                <w:b/>
                <w:sz w:val="22"/>
              </w:rPr>
            </w:pPr>
            <w:r w:rsidRPr="00F9383D">
              <w:rPr>
                <w:rFonts w:ascii="Garamond" w:hAnsi="Garamond"/>
                <w:sz w:val="22"/>
              </w:rPr>
              <w:lastRenderedPageBreak/>
              <w:t>V……………</w:t>
            </w:r>
            <w:proofErr w:type="gramStart"/>
            <w:r w:rsidRPr="00F9383D">
              <w:rPr>
                <w:rFonts w:ascii="Garamond" w:hAnsi="Garamond"/>
                <w:sz w:val="22"/>
              </w:rPr>
              <w:t>dne :</w:t>
            </w:r>
            <w:proofErr w:type="gramEnd"/>
            <w:r w:rsidRPr="00F9383D">
              <w:rPr>
                <w:rFonts w:ascii="Garamond" w:hAnsi="Garamond"/>
                <w:sz w:val="22"/>
              </w:rPr>
              <w:t xml:space="preserve">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lastRenderedPageBreak/>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71DC446" w:rsidR="007C2BEF" w:rsidRPr="00F9383D" w:rsidRDefault="007C2BEF" w:rsidP="00782757">
            <w:pPr>
              <w:rPr>
                <w:rFonts w:ascii="Garamond" w:hAnsi="Garamond"/>
                <w:sz w:val="22"/>
              </w:rPr>
            </w:pPr>
            <w:proofErr w:type="spellStart"/>
            <w:r w:rsidRPr="00F9383D">
              <w:rPr>
                <w:rFonts w:ascii="Garamond" w:hAnsi="Garamond"/>
                <w:sz w:val="22"/>
              </w:rPr>
              <w:t>ředitel</w:t>
            </w:r>
            <w:r w:rsidR="00DD0127">
              <w:rPr>
                <w:rFonts w:ascii="Garamond" w:hAnsi="Garamond"/>
                <w:sz w:val="22"/>
              </w:rPr>
              <w:t>k</w:t>
            </w:r>
            <w:proofErr w:type="spellEnd"/>
            <w:r w:rsidRPr="00F9383D">
              <w:rPr>
                <w:rFonts w:ascii="Garamond" w:hAnsi="Garamond"/>
                <w:sz w:val="22"/>
              </w:rPr>
              <w:t xml:space="preserve">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85663" w14:textId="77777777" w:rsidR="000E6CDD" w:rsidRDefault="000E6CDD">
      <w:r>
        <w:separator/>
      </w:r>
    </w:p>
  </w:endnote>
  <w:endnote w:type="continuationSeparator" w:id="0">
    <w:p w14:paraId="1CF092AD" w14:textId="77777777" w:rsidR="000E6CDD" w:rsidRDefault="000E6C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89AC3" w14:textId="77777777" w:rsidR="000E6CDD" w:rsidRDefault="000E6CDD">
      <w:r>
        <w:separator/>
      </w:r>
    </w:p>
  </w:footnote>
  <w:footnote w:type="continuationSeparator" w:id="0">
    <w:p w14:paraId="42A5F556" w14:textId="77777777" w:rsidR="000E6CDD" w:rsidRDefault="000E6C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5691441"/>
    <w:multiLevelType w:val="hybridMultilevel"/>
    <w:tmpl w:val="53101FB4"/>
    <w:lvl w:ilvl="0" w:tplc="72CC78AE">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2"/>
  </w:num>
  <w:num w:numId="2" w16cid:durableId="2097437490">
    <w:abstractNumId w:val="13"/>
  </w:num>
  <w:num w:numId="3" w16cid:durableId="1540629668">
    <w:abstractNumId w:val="12"/>
  </w:num>
  <w:num w:numId="4" w16cid:durableId="6952258">
    <w:abstractNumId w:val="15"/>
  </w:num>
  <w:num w:numId="5" w16cid:durableId="1389496116">
    <w:abstractNumId w:val="7"/>
  </w:num>
  <w:num w:numId="6" w16cid:durableId="2086146025">
    <w:abstractNumId w:val="21"/>
  </w:num>
  <w:num w:numId="7" w16cid:durableId="2057195243">
    <w:abstractNumId w:val="17"/>
  </w:num>
  <w:num w:numId="8" w16cid:durableId="1112169349">
    <w:abstractNumId w:val="14"/>
  </w:num>
  <w:num w:numId="9" w16cid:durableId="1312638223">
    <w:abstractNumId w:val="9"/>
  </w:num>
  <w:num w:numId="10" w16cid:durableId="761687961">
    <w:abstractNumId w:val="19"/>
  </w:num>
  <w:num w:numId="11" w16cid:durableId="389614831">
    <w:abstractNumId w:val="23"/>
  </w:num>
  <w:num w:numId="12" w16cid:durableId="976760992">
    <w:abstractNumId w:val="20"/>
  </w:num>
  <w:num w:numId="13" w16cid:durableId="1213930858">
    <w:abstractNumId w:val="1"/>
  </w:num>
  <w:num w:numId="14" w16cid:durableId="2016107205">
    <w:abstractNumId w:val="10"/>
  </w:num>
  <w:num w:numId="15" w16cid:durableId="146358124">
    <w:abstractNumId w:val="2"/>
  </w:num>
  <w:num w:numId="16" w16cid:durableId="1898468178">
    <w:abstractNumId w:val="25"/>
  </w:num>
  <w:num w:numId="17" w16cid:durableId="2089689631">
    <w:abstractNumId w:val="5"/>
  </w:num>
  <w:num w:numId="18" w16cid:durableId="1681932664">
    <w:abstractNumId w:val="6"/>
  </w:num>
  <w:num w:numId="19" w16cid:durableId="1947224867">
    <w:abstractNumId w:val="16"/>
  </w:num>
  <w:num w:numId="20" w16cid:durableId="985013379">
    <w:abstractNumId w:val="22"/>
  </w:num>
  <w:num w:numId="21" w16cid:durableId="134417771">
    <w:abstractNumId w:val="24"/>
  </w:num>
  <w:num w:numId="22" w16cid:durableId="1482698556">
    <w:abstractNumId w:val="18"/>
  </w:num>
  <w:num w:numId="23" w16cid:durableId="1238588256">
    <w:abstractNumId w:val="8"/>
  </w:num>
  <w:num w:numId="24" w16cid:durableId="874544117">
    <w:abstractNumId w:val="0"/>
  </w:num>
  <w:num w:numId="25" w16cid:durableId="572742256">
    <w:abstractNumId w:val="3"/>
  </w:num>
  <w:num w:numId="26" w16cid:durableId="602415602">
    <w:abstractNumId w:val="11"/>
  </w:num>
  <w:num w:numId="27" w16cid:durableId="664167558">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94910"/>
    <w:rsid w:val="000A4A99"/>
    <w:rsid w:val="000B3DA7"/>
    <w:rsid w:val="000B6F4C"/>
    <w:rsid w:val="000C6B2C"/>
    <w:rsid w:val="000E6CDD"/>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227D"/>
    <w:rsid w:val="00183692"/>
    <w:rsid w:val="00187B78"/>
    <w:rsid w:val="001A3E70"/>
    <w:rsid w:val="001A4079"/>
    <w:rsid w:val="001A698E"/>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118A"/>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3CCA"/>
    <w:rsid w:val="00764426"/>
    <w:rsid w:val="0076625E"/>
    <w:rsid w:val="00774000"/>
    <w:rsid w:val="00774DE2"/>
    <w:rsid w:val="007853A8"/>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1746A"/>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6635E"/>
    <w:rsid w:val="00A6649E"/>
    <w:rsid w:val="00A72FAE"/>
    <w:rsid w:val="00A957B3"/>
    <w:rsid w:val="00AA6251"/>
    <w:rsid w:val="00AA7E2A"/>
    <w:rsid w:val="00AB3D24"/>
    <w:rsid w:val="00AB5144"/>
    <w:rsid w:val="00AC5573"/>
    <w:rsid w:val="00AD42CB"/>
    <w:rsid w:val="00AE49BD"/>
    <w:rsid w:val="00B1370E"/>
    <w:rsid w:val="00B2375A"/>
    <w:rsid w:val="00B33260"/>
    <w:rsid w:val="00B42B94"/>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A513C"/>
    <w:rsid w:val="00CB4F6E"/>
    <w:rsid w:val="00CB7651"/>
    <w:rsid w:val="00CC0018"/>
    <w:rsid w:val="00CC55A2"/>
    <w:rsid w:val="00CC5DBC"/>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0A3B"/>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E565A"/>
    <w:rsid w:val="00EE6678"/>
    <w:rsid w:val="00EE70C5"/>
    <w:rsid w:val="00EF291C"/>
    <w:rsid w:val="00F04720"/>
    <w:rsid w:val="00F05889"/>
    <w:rsid w:val="00F17F28"/>
    <w:rsid w:val="00F31CC2"/>
    <w:rsid w:val="00F37786"/>
    <w:rsid w:val="00F525C2"/>
    <w:rsid w:val="00F600B6"/>
    <w:rsid w:val="00F6426A"/>
    <w:rsid w:val="00F77E0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4.xml><?xml version="1.0" encoding="utf-8"?>
<ds:datastoreItem xmlns:ds="http://schemas.openxmlformats.org/officeDocument/2006/customXml" ds:itemID="{DB754E15-E789-42A7-80B4-581B72408C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5890</Words>
  <Characters>35639</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41447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6</cp:revision>
  <cp:lastPrinted>2013-05-13T13:19:00Z</cp:lastPrinted>
  <dcterms:created xsi:type="dcterms:W3CDTF">2022-10-11T11:21:00Z</dcterms:created>
  <dcterms:modified xsi:type="dcterms:W3CDTF">2022-10-17T07:37:00Z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